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F110F">
      <w:pPr>
        <w:snapToGrid w:val="0"/>
        <w:spacing w:line="560" w:lineRule="exact"/>
        <w:jc w:val="left"/>
        <w:rPr>
          <w:rFonts w:ascii="黑体" w:eastAsia="黑体" w:hAnsi="Calibri" w:cs="Calibri" w:hint="eastAsia"/>
          <w:sz w:val="32"/>
          <w:szCs w:val="32"/>
          <w:lang w:bidi="en-US"/>
        </w:rPr>
      </w:pPr>
      <w:bookmarkStart w:id="0" w:name="word_number_fieldΩ1"/>
      <w:bookmarkEnd w:id="0"/>
      <w:r>
        <w:rPr>
          <w:rFonts w:ascii="黑体" w:eastAsia="黑体" w:hAnsi="Calibri" w:cs="Calibri" w:hint="eastAsia"/>
          <w:sz w:val="32"/>
          <w:szCs w:val="32"/>
          <w:lang w:bidi="en-US"/>
        </w:rPr>
        <w:t>附件</w:t>
      </w:r>
    </w:p>
    <w:p w:rsidR="00000000" w:rsidRDefault="005F110F">
      <w:pPr>
        <w:snapToGrid w:val="0"/>
        <w:spacing w:line="560" w:lineRule="exact"/>
        <w:jc w:val="left"/>
        <w:rPr>
          <w:rFonts w:ascii="黑体" w:eastAsia="黑体" w:hAnsi="Calibri" w:cs="Calibri" w:hint="eastAsia"/>
          <w:sz w:val="32"/>
          <w:szCs w:val="32"/>
          <w:lang w:bidi="en-US"/>
        </w:rPr>
      </w:pPr>
    </w:p>
    <w:p w:rsidR="00000000" w:rsidRDefault="005F110F">
      <w:pPr>
        <w:snapToGrid w:val="0"/>
        <w:spacing w:line="560" w:lineRule="exact"/>
        <w:jc w:val="center"/>
        <w:rPr>
          <w:rFonts w:ascii="方正小标宋简体" w:eastAsia="方正小标宋简体" w:hAnsi="宋体" w:cs="Calibri" w:hint="eastAsia"/>
          <w:sz w:val="44"/>
          <w:szCs w:val="44"/>
        </w:rPr>
      </w:pPr>
      <w:r>
        <w:rPr>
          <w:rFonts w:ascii="方正小标宋简体" w:eastAsia="方正小标宋简体" w:hAnsi="宋体" w:cs="Calibri" w:hint="eastAsia"/>
          <w:sz w:val="44"/>
          <w:szCs w:val="44"/>
        </w:rPr>
        <w:t>医疗器械行业标准信息表</w:t>
      </w:r>
    </w:p>
    <w:p w:rsidR="00000000" w:rsidRDefault="005F110F">
      <w:pPr>
        <w:snapToGrid w:val="0"/>
        <w:spacing w:line="560" w:lineRule="exact"/>
        <w:jc w:val="center"/>
        <w:rPr>
          <w:rFonts w:ascii="方正小标宋简体" w:eastAsia="方正小标宋简体" w:hAnsi="宋体" w:cs="Calibri"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620"/>
        <w:gridCol w:w="1939"/>
        <w:gridCol w:w="600"/>
        <w:gridCol w:w="1576"/>
        <w:gridCol w:w="4928"/>
        <w:gridCol w:w="1901"/>
      </w:tblGrid>
      <w:tr w:rsidR="00000000">
        <w:trPr>
          <w:cantSplit/>
          <w:trHeight w:val="583"/>
          <w:tblHeader/>
          <w:jc w:val="center"/>
        </w:trPr>
        <w:tc>
          <w:tcPr>
            <w:tcW w:w="545" w:type="dxa"/>
            <w:tcMar>
              <w:top w:w="28" w:type="dxa"/>
              <w:left w:w="28" w:type="dxa"/>
              <w:bottom w:w="28" w:type="dxa"/>
              <w:right w:w="28" w:type="dxa"/>
            </w:tcMar>
            <w:vAlign w:val="center"/>
          </w:tcPr>
          <w:p w:rsidR="00000000" w:rsidRDefault="005F110F">
            <w:pPr>
              <w:adjustRightInd w:val="0"/>
              <w:snapToGrid w:val="0"/>
              <w:spacing w:line="280" w:lineRule="exact"/>
              <w:ind w:right="120"/>
              <w:jc w:val="center"/>
              <w:rPr>
                <w:rFonts w:eastAsia="黑体"/>
                <w:bCs/>
                <w:sz w:val="24"/>
              </w:rPr>
            </w:pPr>
            <w:r>
              <w:rPr>
                <w:rFonts w:eastAsia="黑体"/>
                <w:bCs/>
                <w:sz w:val="24"/>
              </w:rPr>
              <w:t>序号</w:t>
            </w:r>
          </w:p>
        </w:tc>
        <w:tc>
          <w:tcPr>
            <w:tcW w:w="1620" w:type="dxa"/>
            <w:tcMar>
              <w:top w:w="28" w:type="dxa"/>
              <w:left w:w="28" w:type="dxa"/>
              <w:bottom w:w="28" w:type="dxa"/>
              <w:right w:w="28" w:type="dxa"/>
            </w:tcMar>
            <w:vAlign w:val="center"/>
          </w:tcPr>
          <w:p w:rsidR="00000000" w:rsidRDefault="005F110F">
            <w:pPr>
              <w:adjustRightInd w:val="0"/>
              <w:snapToGrid w:val="0"/>
              <w:spacing w:line="280" w:lineRule="exact"/>
              <w:jc w:val="center"/>
              <w:rPr>
                <w:rFonts w:eastAsia="黑体"/>
                <w:bCs/>
                <w:sz w:val="24"/>
              </w:rPr>
            </w:pPr>
            <w:r>
              <w:rPr>
                <w:rFonts w:eastAsia="黑体"/>
                <w:bCs/>
                <w:sz w:val="24"/>
              </w:rPr>
              <w:t>标准</w:t>
            </w:r>
            <w:r>
              <w:rPr>
                <w:rFonts w:eastAsia="黑体"/>
                <w:bCs/>
                <w:sz w:val="24"/>
              </w:rPr>
              <w:br/>
            </w:r>
            <w:r>
              <w:rPr>
                <w:rFonts w:eastAsia="黑体"/>
                <w:bCs/>
                <w:sz w:val="24"/>
              </w:rPr>
              <w:t>编号</w:t>
            </w:r>
          </w:p>
        </w:tc>
        <w:tc>
          <w:tcPr>
            <w:tcW w:w="1939" w:type="dxa"/>
            <w:tcMar>
              <w:top w:w="28" w:type="dxa"/>
              <w:left w:w="28" w:type="dxa"/>
              <w:bottom w:w="28" w:type="dxa"/>
              <w:right w:w="28" w:type="dxa"/>
            </w:tcMar>
            <w:vAlign w:val="center"/>
          </w:tcPr>
          <w:p w:rsidR="00000000" w:rsidRDefault="005F110F">
            <w:pPr>
              <w:adjustRightInd w:val="0"/>
              <w:snapToGrid w:val="0"/>
              <w:spacing w:line="280" w:lineRule="exact"/>
              <w:jc w:val="center"/>
              <w:rPr>
                <w:rFonts w:eastAsia="黑体"/>
                <w:bCs/>
                <w:sz w:val="24"/>
              </w:rPr>
            </w:pPr>
            <w:r>
              <w:rPr>
                <w:rFonts w:eastAsia="黑体"/>
                <w:bCs/>
                <w:sz w:val="24"/>
              </w:rPr>
              <w:t>标准名称</w:t>
            </w:r>
          </w:p>
        </w:tc>
        <w:tc>
          <w:tcPr>
            <w:tcW w:w="600" w:type="dxa"/>
            <w:tcMar>
              <w:top w:w="28" w:type="dxa"/>
              <w:left w:w="28" w:type="dxa"/>
              <w:bottom w:w="28" w:type="dxa"/>
              <w:right w:w="28" w:type="dxa"/>
            </w:tcMar>
            <w:vAlign w:val="center"/>
          </w:tcPr>
          <w:p w:rsidR="00000000" w:rsidRDefault="005F110F">
            <w:pPr>
              <w:adjustRightInd w:val="0"/>
              <w:snapToGrid w:val="0"/>
              <w:spacing w:line="280" w:lineRule="exact"/>
              <w:jc w:val="center"/>
              <w:rPr>
                <w:rFonts w:eastAsia="黑体"/>
                <w:bCs/>
                <w:sz w:val="24"/>
              </w:rPr>
            </w:pPr>
            <w:r>
              <w:rPr>
                <w:rFonts w:eastAsia="黑体"/>
                <w:bCs/>
                <w:sz w:val="24"/>
              </w:rPr>
              <w:t>制修订</w:t>
            </w:r>
          </w:p>
        </w:tc>
        <w:tc>
          <w:tcPr>
            <w:tcW w:w="1576" w:type="dxa"/>
            <w:tcMar>
              <w:top w:w="28" w:type="dxa"/>
              <w:left w:w="28" w:type="dxa"/>
              <w:bottom w:w="28" w:type="dxa"/>
              <w:right w:w="28" w:type="dxa"/>
            </w:tcMar>
            <w:vAlign w:val="center"/>
          </w:tcPr>
          <w:p w:rsidR="00000000" w:rsidRDefault="005F110F">
            <w:pPr>
              <w:adjustRightInd w:val="0"/>
              <w:snapToGrid w:val="0"/>
              <w:spacing w:line="280" w:lineRule="exact"/>
              <w:jc w:val="center"/>
              <w:rPr>
                <w:rFonts w:eastAsia="黑体"/>
                <w:bCs/>
                <w:sz w:val="24"/>
              </w:rPr>
            </w:pPr>
            <w:r>
              <w:rPr>
                <w:rFonts w:eastAsia="黑体"/>
                <w:bCs/>
                <w:sz w:val="24"/>
              </w:rPr>
              <w:t>替代</w:t>
            </w:r>
            <w:r>
              <w:rPr>
                <w:rFonts w:eastAsia="黑体"/>
                <w:bCs/>
                <w:sz w:val="24"/>
              </w:rPr>
              <w:br/>
            </w:r>
            <w:r>
              <w:rPr>
                <w:rFonts w:eastAsia="黑体"/>
                <w:bCs/>
                <w:sz w:val="24"/>
              </w:rPr>
              <w:t>标准</w:t>
            </w:r>
          </w:p>
        </w:tc>
        <w:tc>
          <w:tcPr>
            <w:tcW w:w="4928" w:type="dxa"/>
            <w:tcMar>
              <w:top w:w="28" w:type="dxa"/>
              <w:left w:w="28" w:type="dxa"/>
              <w:bottom w:w="28" w:type="dxa"/>
              <w:right w:w="28" w:type="dxa"/>
            </w:tcMar>
            <w:vAlign w:val="center"/>
          </w:tcPr>
          <w:p w:rsidR="00000000" w:rsidRDefault="005F110F">
            <w:pPr>
              <w:adjustRightInd w:val="0"/>
              <w:snapToGrid w:val="0"/>
              <w:spacing w:line="280" w:lineRule="exact"/>
              <w:jc w:val="center"/>
              <w:rPr>
                <w:rFonts w:eastAsia="黑体"/>
                <w:bCs/>
                <w:sz w:val="24"/>
              </w:rPr>
            </w:pPr>
            <w:r>
              <w:rPr>
                <w:rFonts w:eastAsia="黑体"/>
                <w:bCs/>
                <w:sz w:val="24"/>
              </w:rPr>
              <w:t>适用范围</w:t>
            </w:r>
          </w:p>
        </w:tc>
        <w:tc>
          <w:tcPr>
            <w:tcW w:w="1901" w:type="dxa"/>
            <w:tcMar>
              <w:top w:w="28" w:type="dxa"/>
              <w:left w:w="28" w:type="dxa"/>
              <w:bottom w:w="28" w:type="dxa"/>
              <w:right w:w="28" w:type="dxa"/>
            </w:tcMar>
            <w:vAlign w:val="center"/>
          </w:tcPr>
          <w:p w:rsidR="00000000" w:rsidRDefault="005F110F">
            <w:pPr>
              <w:adjustRightInd w:val="0"/>
              <w:snapToGrid w:val="0"/>
              <w:spacing w:line="280" w:lineRule="exact"/>
              <w:jc w:val="center"/>
              <w:rPr>
                <w:rFonts w:eastAsia="黑体"/>
                <w:bCs/>
                <w:sz w:val="24"/>
              </w:rPr>
            </w:pPr>
            <w:r>
              <w:rPr>
                <w:rFonts w:eastAsia="黑体"/>
                <w:bCs/>
                <w:sz w:val="24"/>
              </w:rPr>
              <w:t>实施日期</w:t>
            </w:r>
          </w:p>
        </w:tc>
      </w:tr>
      <w:tr w:rsidR="00000000">
        <w:trPr>
          <w:cantSplit/>
          <w:trHeight w:val="543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1</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lang w:val="en"/>
              </w:rPr>
            </w:pPr>
            <w:r>
              <w:rPr>
                <w:rFonts w:eastAsia="仿宋_GB2312"/>
                <w:color w:val="000000"/>
                <w:sz w:val="24"/>
              </w:rPr>
              <w:t>YY 0499-2023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麻醉和呼吸设备</w:t>
            </w:r>
            <w:r>
              <w:rPr>
                <w:rFonts w:eastAsia="仿宋_GB2312"/>
                <w:color w:val="000000"/>
                <w:sz w:val="24"/>
              </w:rPr>
              <w:t xml:space="preserve"> </w:t>
            </w:r>
            <w:r>
              <w:rPr>
                <w:rFonts w:eastAsia="仿宋_GB2312"/>
                <w:color w:val="000000"/>
                <w:sz w:val="24"/>
              </w:rPr>
              <w:t>气管插管用喉镜</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0499-2004</w:t>
            </w:r>
          </w:p>
          <w:p w:rsidR="00000000" w:rsidRDefault="005F110F">
            <w:pPr>
              <w:adjustRightInd w:val="0"/>
              <w:snapToGrid w:val="0"/>
              <w:spacing w:line="360" w:lineRule="exact"/>
              <w:jc w:val="center"/>
              <w:rPr>
                <w:rFonts w:eastAsia="仿宋_GB2312"/>
                <w:bCs/>
                <w:sz w:val="24"/>
              </w:rPr>
            </w:pPr>
            <w:r>
              <w:rPr>
                <w:rFonts w:eastAsia="仿宋_GB2312"/>
                <w:color w:val="000000"/>
                <w:sz w:val="24"/>
              </w:rPr>
              <w:t>YY 91123-1999 YY 91136-1999 YY 0498.1-2004 YY 0498.2-2004</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bCs/>
                <w:sz w:val="24"/>
              </w:rPr>
            </w:pPr>
            <w:r>
              <w:rPr>
                <w:rFonts w:eastAsia="仿宋_GB2312"/>
                <w:color w:val="000000"/>
                <w:sz w:val="24"/>
              </w:rPr>
              <w:t>本文件规定了具有非软性窥视片的喉镜的要求以及带有可互换钩紧连接件的手柄和喉镜</w:t>
            </w:r>
            <w:r>
              <w:rPr>
                <w:rFonts w:eastAsia="仿宋_GB2312"/>
                <w:color w:val="000000"/>
                <w:sz w:val="24"/>
              </w:rPr>
              <w:t>窥视片的关键尺寸。本文件适用于具有内部电池供电的电源、用于在插管过程中照亮喉部的喉镜。本文件不适用于以下产品：软性喉镜，为手术设计的喉镜，由网电源供电的喉镜，通过光缆连接到外部光源的喉镜，设计用于外部、一体化或附加视频系统连接工作的视频喉镜。</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bCs/>
                <w:sz w:val="24"/>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96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2</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0970-2023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医疗保健产品灭菌</w:t>
            </w:r>
            <w:r>
              <w:rPr>
                <w:rFonts w:eastAsia="仿宋_GB2312"/>
                <w:color w:val="000000"/>
                <w:sz w:val="24"/>
              </w:rPr>
              <w:t xml:space="preserve"> </w:t>
            </w:r>
            <w:r>
              <w:rPr>
                <w:rFonts w:eastAsia="仿宋_GB2312"/>
                <w:color w:val="000000"/>
                <w:sz w:val="24"/>
              </w:rPr>
              <w:t>一次性使用动物源性医疗器械的液体化学灭菌剂</w:t>
            </w:r>
            <w:r>
              <w:rPr>
                <w:rFonts w:eastAsia="仿宋_GB2312"/>
                <w:color w:val="000000"/>
                <w:sz w:val="24"/>
              </w:rPr>
              <w:t xml:space="preserve"> </w:t>
            </w:r>
            <w:r>
              <w:rPr>
                <w:rFonts w:eastAsia="仿宋_GB2312"/>
                <w:color w:val="000000"/>
                <w:sz w:val="24"/>
              </w:rPr>
              <w:t>医疗器械灭菌过程的特征、开发、确认和常规控制的要求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0970-2013</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本文件规定了对全部或部分来源于动物材料的一次性使用医疗器械进行灭菌的</w:t>
            </w:r>
            <w:r>
              <w:rPr>
                <w:rFonts w:eastAsia="仿宋_GB2312"/>
                <w:color w:val="000000"/>
                <w:sz w:val="24"/>
              </w:rPr>
              <w:t>液体化学灭菌剂的特征，以及灭菌开发、确认、过程控制和监控的要求。本文件适用于液体化学灭菌过程中细菌和真菌污染的风险控制，与其它微生物相关的风险可使用其他方法进行评估。本文件不适用于：人体来源的材料；病毒和传染性海绵状脑病（</w:t>
            </w:r>
            <w:r>
              <w:rPr>
                <w:rFonts w:eastAsia="仿宋_GB2312"/>
                <w:color w:val="000000"/>
                <w:sz w:val="24"/>
              </w:rPr>
              <w:t>TSE</w:t>
            </w:r>
            <w:r>
              <w:rPr>
                <w:rFonts w:eastAsia="仿宋_GB2312"/>
                <w:color w:val="000000"/>
                <w:sz w:val="24"/>
              </w:rPr>
              <w:t>）灭活的确认；原生动物和寄生虫灭活或消除的确认；生产过程中降低生物负载的处理过程；灭菌过程对医疗器械使用适宜性的测试评估；医疗器械中灭菌剂残留水平的制定。</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78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3</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9706.231-2023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2-31</w:t>
            </w:r>
            <w:r>
              <w:rPr>
                <w:rFonts w:eastAsia="仿宋_GB2312"/>
                <w:color w:val="000000"/>
                <w:sz w:val="24"/>
              </w:rPr>
              <w:t>部分：带内部电源的体外心脏起搏器的基本安全和</w:t>
            </w:r>
            <w:r>
              <w:rPr>
                <w:rFonts w:eastAsia="仿宋_GB2312"/>
                <w:color w:val="000000"/>
                <w:sz w:val="24"/>
              </w:rPr>
              <w:t>基本性能专用要求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0945.2-2015</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本文件规定了由内部电源供电的体外心脏起搏器的基本安全和基本性能。本文件适用于延伸非植入式脉冲发生器和起搏电极导线之间距离的电缆，但不适用于封闭有一根或多根被绝缘的导体，预期用于在体外心脏起搏器和患者心脏之间传输电能的软管。本文件不适用于</w:t>
            </w:r>
            <w:r>
              <w:rPr>
                <w:rFonts w:eastAsia="仿宋_GB2312"/>
                <w:color w:val="000000"/>
                <w:sz w:val="24"/>
              </w:rPr>
              <w:t>GB 16174.1</w:t>
            </w:r>
            <w:r>
              <w:rPr>
                <w:rFonts w:eastAsia="仿宋_GB2312"/>
                <w:color w:val="000000"/>
                <w:sz w:val="24"/>
              </w:rPr>
              <w:t>所涵盖的有源植入式医疗器械的植入部分、可以直接或间接连接至供电网的体外心脏起搏器、经胸廓和食管起搏的医用电气设备和抗心动过速的医用电气设备。</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4</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9706.256-2023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2-56</w:t>
            </w:r>
            <w:r>
              <w:rPr>
                <w:rFonts w:eastAsia="仿宋_GB2312"/>
                <w:color w:val="000000"/>
                <w:sz w:val="24"/>
              </w:rPr>
              <w:t>部分：用于体温测量的临床体温计的基本安全和基本性能专用要求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0785-2010</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本文件规定了临床体温计及其附件的基本安全性和基本性能专用要求。本文件适用于所有用于测量患者体温的电子临床体温计，包括测量和显示体温的医用电气设备。临床体温计可以通过配备接口来包含次级指示器、打印设备和其他辅助设备，从而形成医用电气系统。本文件不适用于辅助设备，也不适用于在室内环境条件下，对人群进行无创发热温度筛查所用的屏幕热像仪。</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436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5</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9706.278-2023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2-78</w:t>
            </w:r>
            <w:r>
              <w:rPr>
                <w:rFonts w:eastAsia="仿宋_GB2312"/>
                <w:color w:val="000000"/>
                <w:sz w:val="24"/>
              </w:rPr>
              <w:t>部分：康复、评定、代偿或缓解用医用机器人的基本安全和基本性能专用要求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rPr>
            </w:pPr>
            <w:r>
              <w:rPr>
                <w:rFonts w:eastAsia="仿宋_GB2312"/>
                <w:color w:val="000000"/>
                <w:sz w:val="24"/>
              </w:rPr>
              <w:t>本文件规定了预期与患者产生身体接触、实现患者肢体运动功能的康复、评定、代偿或缓解的医用机器人的基本安全和基本性能。本文件适用于预期与患者产生身体接触、实现患者肢体运动功能的康复、评定、代偿或缓解的医用机器人。本文件不适用于假肢和矫形器、轮椅车、诊断成像设备和个人助理机器人。</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left"/>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40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6</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9706.279-2023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2-79</w:t>
            </w:r>
            <w:r>
              <w:rPr>
                <w:rFonts w:eastAsia="仿宋_GB2312"/>
                <w:color w:val="000000"/>
                <w:sz w:val="24"/>
              </w:rPr>
              <w:t>部分：用于呼吸功能障碍的呼吸支持设备的基本安</w:t>
            </w:r>
            <w:r>
              <w:rPr>
                <w:rFonts w:eastAsia="仿宋_GB2312"/>
                <w:color w:val="000000"/>
                <w:sz w:val="24"/>
              </w:rPr>
              <w:t>全和基本性能专用要求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0600.1-2007</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与附件组合使用的用于呼吸功能障碍的呼吸支持设备的基本安全和基本性能。本文件适用于预期在家庭护理环境下由无经验的操作者操作，用于患有呼吸功能障碍的患者的呼吸支持设备。本文件也适用于制造商预期连接至呼吸功能障碍的呼吸支持设备的呼吸系统的附件，这些附件的特性可能影响呼吸功能障碍的呼吸支持设备的基本安全和基本性能。本文件不适用于实时依赖于人工通气进行生命支持的患者的设备、重症监护呼吸机及其附件、麻醉呼吸机及其附件、急救与转运呼吸机及其附件、依赖</w:t>
            </w:r>
            <w:r>
              <w:rPr>
                <w:rFonts w:eastAsia="仿宋_GB2312"/>
                <w:color w:val="000000"/>
                <w:sz w:val="24"/>
              </w:rPr>
              <w:t>呼吸机患者使用的家用呼吸机、用于呼吸功能不全的呼吸支持设备、阻塞性睡眠呼吸暂停症治疗用医用电气设备、持续气道正压医用电气设备、高频喷射呼吸机、高频振荡呼吸机、恒流氧疗设备、铁甲与</w:t>
            </w:r>
            <w:r>
              <w:rPr>
                <w:rFonts w:eastAsia="仿宋_GB2312"/>
                <w:color w:val="000000"/>
                <w:sz w:val="24"/>
              </w:rPr>
              <w:t>“</w:t>
            </w:r>
            <w:r>
              <w:rPr>
                <w:rFonts w:eastAsia="仿宋_GB2312"/>
                <w:color w:val="000000"/>
                <w:sz w:val="24"/>
              </w:rPr>
              <w:t>铁肺</w:t>
            </w:r>
            <w:r>
              <w:rPr>
                <w:rFonts w:eastAsia="仿宋_GB2312"/>
                <w:color w:val="000000"/>
                <w:sz w:val="24"/>
              </w:rPr>
              <w:t>”</w:t>
            </w:r>
            <w:r>
              <w:rPr>
                <w:rFonts w:eastAsia="仿宋_GB2312"/>
                <w:color w:val="000000"/>
                <w:sz w:val="24"/>
              </w:rPr>
              <w:t>呼吸机。</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901"/>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7</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9706.280-2023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2-80</w:t>
            </w:r>
            <w:r>
              <w:rPr>
                <w:rFonts w:eastAsia="仿宋_GB2312"/>
                <w:color w:val="000000"/>
                <w:sz w:val="24"/>
              </w:rPr>
              <w:t>部分：用于呼吸功能不全的呼吸支持设备的基本安全和基本性能专用要求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0600.1-2007</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本文件规定了与附件组合使用的用于呼吸功能不全的呼吸支持设备的基本安全和基本性能。本文件适用于预期在家庭护理环境下由无经验的操作者</w:t>
            </w:r>
            <w:r>
              <w:rPr>
                <w:rFonts w:eastAsia="仿宋_GB2312"/>
                <w:color w:val="000000"/>
                <w:sz w:val="24"/>
              </w:rPr>
              <w:t>操作，用于患有呼吸功能不全或衰竭的患者预期转移时可运行的呼吸支持设备。本文件也适用于制造商预期连接至呼吸功能不全的呼吸支持设备的呼吸系统的附件，这些附件的特性可能影响呼吸功能不全的呼吸支持设备的基本安全和基本性能。本文件不适用于预期用于实时依赖于人工通气进行生命支持的患者的设备。本文件不适用于重症监护呼吸机及其附件、麻醉呼吸机及其附件、急救与转运呼吸机及其附件、依赖呼吸机患者使用的家用呼吸机、呼吸功能障碍的呼吸支持设备、阻塞性睡眠呼吸暂停症治疗用医用电气设备、持续气道正压医用电气设备、高频喷射呼吸机、高频振</w:t>
            </w:r>
            <w:r>
              <w:rPr>
                <w:rFonts w:eastAsia="仿宋_GB2312"/>
                <w:color w:val="000000"/>
                <w:sz w:val="24"/>
              </w:rPr>
              <w:t>荡呼吸机、恒流氧疗设备、铁甲与</w:t>
            </w:r>
            <w:r>
              <w:rPr>
                <w:rFonts w:eastAsia="仿宋_GB2312"/>
                <w:color w:val="000000"/>
                <w:sz w:val="24"/>
              </w:rPr>
              <w:t>“</w:t>
            </w:r>
            <w:r>
              <w:rPr>
                <w:rFonts w:eastAsia="仿宋_GB2312"/>
                <w:color w:val="000000"/>
                <w:sz w:val="24"/>
              </w:rPr>
              <w:t>铁肺</w:t>
            </w:r>
            <w:r>
              <w:rPr>
                <w:rFonts w:eastAsia="仿宋_GB2312"/>
                <w:color w:val="000000"/>
                <w:sz w:val="24"/>
              </w:rPr>
              <w:t>”</w:t>
            </w:r>
            <w:r>
              <w:rPr>
                <w:rFonts w:eastAsia="仿宋_GB2312"/>
                <w:color w:val="000000"/>
                <w:sz w:val="24"/>
              </w:rPr>
              <w:t>呼吸机。</w:t>
            </w:r>
            <w:r>
              <w:rPr>
                <w:rFonts w:eastAsia="仿宋_GB2312"/>
                <w:color w:val="000000"/>
                <w:sz w:val="24"/>
              </w:rPr>
              <w:t xml:space="preserve"> </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8081"/>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8</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9706.284-2023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2-84</w:t>
            </w:r>
            <w:r>
              <w:rPr>
                <w:rFonts w:eastAsia="仿宋_GB2312"/>
                <w:color w:val="000000"/>
                <w:sz w:val="24"/>
              </w:rPr>
              <w:t>部分：紧急医疗服务环境用呼吸机的基本安全和基本性能专用要求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 0600.3-2007</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与附件组合使用的紧急医疗服务环境用呼吸机的基本安全和基本性能。本文件适用于预期在紧急医疗服务环境中，由专业护理人员操作，给需要不同的人工通气支持水平的患者（包括依赖呼吸机患者）进行有创或无创通气的紧急医疗服务环境用呼吸机。除非紧急医疗服务环境用呼吸机使用患者生理变量调</w:t>
            </w:r>
            <w:r>
              <w:rPr>
                <w:rFonts w:eastAsia="仿宋_GB2312"/>
                <w:color w:val="000000"/>
                <w:sz w:val="24"/>
              </w:rPr>
              <w:t>节通气治疗设置，否则不认为紧急医疗服务环境用呼吸机采用了生理闭环控制系统。本文件也适用于制造商预期连接到呼吸机呼吸系统或紧急医疗服务环境用呼吸机的附件，这些附件的特性可能影响紧急医疗服务环境用呼吸机的基本安全或基本性能。本文件不适用于重症护理呼吸机或附件、依赖呼吸机患者使用的家用呼吸机或附件、麻醉应用中的呼吸机或附件、通气支持设备的呼吸机或附件（预期仅用于增加自主呼吸患者的通气量）、阻塞性睡眠呼吸暂停症治疗医用电气设备、人工复苏器、气动急救复苏器、持续气道正压医用电气设备、高频喷射呼吸机、高频震荡呼吸机、铁</w:t>
            </w:r>
            <w:r>
              <w:rPr>
                <w:rFonts w:eastAsia="仿宋_GB2312"/>
                <w:color w:val="000000"/>
                <w:sz w:val="24"/>
              </w:rPr>
              <w:t>甲或</w:t>
            </w:r>
            <w:r>
              <w:rPr>
                <w:rFonts w:eastAsia="仿宋_GB2312"/>
                <w:color w:val="000000"/>
                <w:sz w:val="24"/>
              </w:rPr>
              <w:t>“</w:t>
            </w:r>
            <w:r>
              <w:rPr>
                <w:rFonts w:eastAsia="仿宋_GB2312"/>
                <w:color w:val="000000"/>
                <w:sz w:val="24"/>
              </w:rPr>
              <w:t>铁肺</w:t>
            </w:r>
            <w:r>
              <w:rPr>
                <w:rFonts w:eastAsia="仿宋_GB2312"/>
                <w:color w:val="000000"/>
                <w:sz w:val="24"/>
              </w:rPr>
              <w:t>”</w:t>
            </w:r>
            <w:r>
              <w:rPr>
                <w:rFonts w:eastAsia="仿宋_GB2312"/>
                <w:color w:val="000000"/>
                <w:sz w:val="24"/>
              </w:rPr>
              <w:t>呼吸机。</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lang w:val="en"/>
              </w:rPr>
              <w:t>2026</w:t>
            </w:r>
            <w:r>
              <w:rPr>
                <w:rFonts w:eastAsia="仿宋_GB2312"/>
                <w:color w:val="000000"/>
                <w:sz w:val="24"/>
                <w:lang w:val="en"/>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9</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0128-2023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医用诊断</w:t>
            </w:r>
            <w:r>
              <w:rPr>
                <w:rFonts w:eastAsia="仿宋_GB2312"/>
                <w:color w:val="000000"/>
                <w:sz w:val="24"/>
              </w:rPr>
              <w:t>X</w:t>
            </w:r>
            <w:r>
              <w:rPr>
                <w:rFonts w:eastAsia="仿宋_GB2312"/>
                <w:color w:val="000000"/>
                <w:sz w:val="24"/>
              </w:rPr>
              <w:t>射线辐射防护器具</w:t>
            </w:r>
            <w:r>
              <w:rPr>
                <w:rFonts w:eastAsia="仿宋_GB2312"/>
                <w:color w:val="000000"/>
                <w:sz w:val="24"/>
              </w:rPr>
              <w:t xml:space="preserve"> </w:t>
            </w:r>
            <w:r>
              <w:rPr>
                <w:rFonts w:eastAsia="仿宋_GB2312"/>
                <w:color w:val="000000"/>
                <w:sz w:val="24"/>
              </w:rPr>
              <w:t>装置及用具</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0128-2004</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本文件规定了医用诊断</w:t>
            </w:r>
            <w:r>
              <w:rPr>
                <w:rFonts w:eastAsia="仿宋_GB2312"/>
                <w:color w:val="000000"/>
                <w:sz w:val="24"/>
              </w:rPr>
              <w:t>X</w:t>
            </w:r>
            <w:r>
              <w:rPr>
                <w:rFonts w:eastAsia="仿宋_GB2312"/>
                <w:color w:val="000000"/>
                <w:sz w:val="24"/>
              </w:rPr>
              <w:t>射线辐射防护装置及用具（以下简称防护装置）的术语、定义、要求、检验方法。本文件适用于为使用者提供的用于屏蔽或减弱医用诊断</w:t>
            </w:r>
            <w:r>
              <w:rPr>
                <w:rFonts w:eastAsia="仿宋_GB2312"/>
                <w:color w:val="000000"/>
                <w:sz w:val="24"/>
              </w:rPr>
              <w:t>X</w:t>
            </w:r>
            <w:r>
              <w:rPr>
                <w:rFonts w:eastAsia="仿宋_GB2312"/>
                <w:color w:val="000000"/>
                <w:sz w:val="24"/>
              </w:rPr>
              <w:t>射线辐射的防护装置。本文件不适用于穿戴式医用诊断</w:t>
            </w:r>
            <w:r>
              <w:rPr>
                <w:rFonts w:eastAsia="仿宋_GB2312"/>
                <w:color w:val="000000"/>
                <w:sz w:val="24"/>
              </w:rPr>
              <w:t>X</w:t>
            </w:r>
            <w:r>
              <w:rPr>
                <w:rFonts w:eastAsia="仿宋_GB2312"/>
                <w:color w:val="000000"/>
                <w:sz w:val="24"/>
              </w:rPr>
              <w:t>射线辐射防护用品。</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10</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0688.1-2023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感染病原体敏感性试验与抗微生物药物敏感性试验设备的性能评价</w:t>
            </w:r>
            <w:r>
              <w:rPr>
                <w:rFonts w:eastAsia="仿宋_GB2312"/>
                <w:color w:val="000000"/>
                <w:sz w:val="24"/>
              </w:rPr>
              <w:t xml:space="preserve"> </w:t>
            </w:r>
            <w:r>
              <w:rPr>
                <w:rFonts w:eastAsia="仿宋_GB2312"/>
                <w:color w:val="000000"/>
                <w:sz w:val="24"/>
              </w:rPr>
              <w:t>第</w:t>
            </w:r>
            <w:r>
              <w:rPr>
                <w:rFonts w:eastAsia="仿宋_GB2312"/>
                <w:color w:val="000000"/>
                <w:sz w:val="24"/>
              </w:rPr>
              <w:t>1</w:t>
            </w:r>
            <w:r>
              <w:rPr>
                <w:rFonts w:eastAsia="仿宋_GB2312"/>
                <w:color w:val="000000"/>
                <w:sz w:val="24"/>
              </w:rPr>
              <w:t>部分：抗微生物药</w:t>
            </w:r>
            <w:r>
              <w:rPr>
                <w:rFonts w:eastAsia="仿宋_GB2312"/>
                <w:color w:val="000000"/>
                <w:sz w:val="24"/>
              </w:rPr>
              <w:t>物对感染性疾病相关的快速生长需氧菌的体外活性检测的肉汤微量稀释参考方法</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0688.1-2008</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本文件描述了测定抗微生物药物</w:t>
            </w:r>
            <w:r>
              <w:rPr>
                <w:rFonts w:eastAsia="仿宋_GB2312"/>
                <w:color w:val="000000"/>
                <w:sz w:val="24"/>
              </w:rPr>
              <w:t>MIC</w:t>
            </w:r>
            <w:r>
              <w:rPr>
                <w:rFonts w:eastAsia="仿宋_GB2312"/>
                <w:color w:val="000000"/>
                <w:sz w:val="24"/>
              </w:rPr>
              <w:t>值的一种参考方法</w:t>
            </w:r>
            <w:r>
              <w:rPr>
                <w:rFonts w:eastAsia="仿宋_GB2312"/>
                <w:color w:val="000000"/>
                <w:sz w:val="24"/>
              </w:rPr>
              <w:t>——</w:t>
            </w:r>
            <w:r>
              <w:rPr>
                <w:rFonts w:eastAsia="仿宋_GB2312"/>
                <w:color w:val="000000"/>
                <w:sz w:val="24"/>
              </w:rPr>
              <w:t>肉汤微量稀释法。</w:t>
            </w:r>
            <w:r>
              <w:rPr>
                <w:rFonts w:eastAsia="仿宋_GB2312"/>
                <w:color w:val="000000"/>
                <w:sz w:val="24"/>
              </w:rPr>
              <w:t>MIC</w:t>
            </w:r>
            <w:r>
              <w:rPr>
                <w:rFonts w:eastAsia="仿宋_GB2312"/>
                <w:color w:val="000000"/>
                <w:sz w:val="24"/>
              </w:rPr>
              <w:t>值能给医生作为一个指导，其反映抗微生物药物在规定的体外试验条件下的抗菌活性，还应考虑诸如药物药理学、药代动力学或细菌耐药机制等其它因素。这可使细菌归类为</w:t>
            </w:r>
            <w:r>
              <w:rPr>
                <w:rFonts w:eastAsia="仿宋_GB2312"/>
                <w:color w:val="000000"/>
                <w:sz w:val="24"/>
              </w:rPr>
              <w:t>“</w:t>
            </w:r>
            <w:r>
              <w:rPr>
                <w:rFonts w:eastAsia="仿宋_GB2312"/>
                <w:color w:val="000000"/>
                <w:sz w:val="24"/>
              </w:rPr>
              <w:t>敏感（</w:t>
            </w:r>
            <w:r>
              <w:rPr>
                <w:rFonts w:eastAsia="仿宋_GB2312"/>
                <w:color w:val="000000"/>
                <w:sz w:val="24"/>
              </w:rPr>
              <w:t>S</w:t>
            </w:r>
            <w:r>
              <w:rPr>
                <w:rFonts w:eastAsia="仿宋_GB2312"/>
                <w:color w:val="000000"/>
                <w:sz w:val="24"/>
              </w:rPr>
              <w:t>）</w:t>
            </w:r>
            <w:r>
              <w:rPr>
                <w:rFonts w:eastAsia="仿宋_GB2312"/>
                <w:color w:val="000000"/>
                <w:sz w:val="24"/>
              </w:rPr>
              <w:t>”“</w:t>
            </w:r>
            <w:r>
              <w:rPr>
                <w:rFonts w:eastAsia="仿宋_GB2312"/>
                <w:color w:val="000000"/>
                <w:sz w:val="24"/>
              </w:rPr>
              <w:t>中介（</w:t>
            </w:r>
            <w:r>
              <w:rPr>
                <w:rFonts w:eastAsia="仿宋_GB2312"/>
                <w:color w:val="000000"/>
                <w:sz w:val="24"/>
              </w:rPr>
              <w:t>I</w:t>
            </w:r>
            <w:r>
              <w:rPr>
                <w:rFonts w:eastAsia="仿宋_GB2312"/>
                <w:color w:val="000000"/>
                <w:sz w:val="24"/>
              </w:rPr>
              <w:t>）</w:t>
            </w:r>
            <w:r>
              <w:rPr>
                <w:rFonts w:eastAsia="仿宋_GB2312"/>
                <w:color w:val="000000"/>
                <w:sz w:val="24"/>
              </w:rPr>
              <w:t>”</w:t>
            </w:r>
            <w:r>
              <w:rPr>
                <w:rFonts w:eastAsia="仿宋_GB2312"/>
                <w:color w:val="000000"/>
                <w:sz w:val="24"/>
              </w:rPr>
              <w:t>或</w:t>
            </w:r>
            <w:r>
              <w:rPr>
                <w:rFonts w:eastAsia="仿宋_GB2312"/>
                <w:color w:val="000000"/>
                <w:sz w:val="24"/>
              </w:rPr>
              <w:t>“</w:t>
            </w:r>
            <w:r>
              <w:rPr>
                <w:rFonts w:eastAsia="仿宋_GB2312"/>
                <w:color w:val="000000"/>
                <w:sz w:val="24"/>
              </w:rPr>
              <w:t>耐药（</w:t>
            </w:r>
            <w:r>
              <w:rPr>
                <w:rFonts w:eastAsia="仿宋_GB2312"/>
                <w:color w:val="000000"/>
                <w:sz w:val="24"/>
              </w:rPr>
              <w:t>R</w:t>
            </w:r>
            <w:r>
              <w:rPr>
                <w:rFonts w:eastAsia="仿宋_GB2312"/>
                <w:color w:val="000000"/>
                <w:sz w:val="24"/>
              </w:rPr>
              <w:t>）</w:t>
            </w:r>
            <w:r>
              <w:rPr>
                <w:rFonts w:eastAsia="仿宋_GB2312"/>
                <w:color w:val="000000"/>
                <w:sz w:val="24"/>
              </w:rPr>
              <w:t>”</w:t>
            </w:r>
            <w:r>
              <w:rPr>
                <w:rFonts w:eastAsia="仿宋_GB2312"/>
                <w:color w:val="000000"/>
                <w:sz w:val="24"/>
              </w:rPr>
              <w:t>。另外，</w:t>
            </w:r>
            <w:r>
              <w:rPr>
                <w:rFonts w:eastAsia="仿宋_GB2312"/>
                <w:color w:val="000000"/>
                <w:sz w:val="24"/>
              </w:rPr>
              <w:t>MIC</w:t>
            </w:r>
            <w:r>
              <w:rPr>
                <w:rFonts w:eastAsia="仿宋_GB2312"/>
                <w:color w:val="000000"/>
                <w:sz w:val="24"/>
              </w:rPr>
              <w:t>值的分布能用于确定野生型或非野生型细菌群落。尽管</w:t>
            </w:r>
            <w:r>
              <w:rPr>
                <w:rFonts w:eastAsia="仿宋_GB2312"/>
                <w:color w:val="000000"/>
                <w:sz w:val="24"/>
              </w:rPr>
              <w:t>MIC</w:t>
            </w:r>
            <w:r>
              <w:rPr>
                <w:rFonts w:eastAsia="仿宋_GB2312"/>
                <w:color w:val="000000"/>
                <w:sz w:val="24"/>
              </w:rPr>
              <w:t>值的临床解释超出了本文件的范围，但为了便于临床解释，对某些</w:t>
            </w:r>
            <w:r>
              <w:rPr>
                <w:rFonts w:eastAsia="仿宋_GB2312"/>
                <w:color w:val="000000"/>
                <w:sz w:val="24"/>
              </w:rPr>
              <w:t>抗微生物药物</w:t>
            </w:r>
            <w:r>
              <w:rPr>
                <w:rFonts w:eastAsia="仿宋_GB2312"/>
                <w:color w:val="000000"/>
                <w:sz w:val="24"/>
              </w:rPr>
              <w:t>-</w:t>
            </w:r>
            <w:r>
              <w:rPr>
                <w:rFonts w:eastAsia="仿宋_GB2312"/>
                <w:color w:val="000000"/>
                <w:sz w:val="24"/>
              </w:rPr>
              <w:t>细菌组合基本方法进行调整是必要的。这些调整包含在本文件单独的附录中。为了确保试验结果的可比性与可靠性，其他药敏试验方法（如纸片扩散法或诊断试验器械）有必要和本参考方法比较进行确认。本文件适用于采用肉汤微量稀释法测定</w:t>
            </w:r>
            <w:r>
              <w:rPr>
                <w:rFonts w:eastAsia="仿宋_GB2312"/>
                <w:color w:val="000000"/>
                <w:sz w:val="24"/>
              </w:rPr>
              <w:t>MIC</w:t>
            </w:r>
            <w:r>
              <w:rPr>
                <w:rFonts w:eastAsia="仿宋_GB2312"/>
                <w:color w:val="000000"/>
                <w:sz w:val="24"/>
              </w:rPr>
              <w:t>值。</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2023</w:t>
            </w:r>
            <w:r>
              <w:rPr>
                <w:rFonts w:eastAsia="仿宋_GB2312"/>
                <w:color w:val="000000"/>
                <w:sz w:val="24"/>
              </w:rPr>
              <w:t>年</w:t>
            </w:r>
            <w:r>
              <w:rPr>
                <w:rFonts w:eastAsia="仿宋_GB2312"/>
                <w:color w:val="000000"/>
                <w:sz w:val="24"/>
                <w:lang w:val="en"/>
              </w:rPr>
              <w:t>11</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11</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0862-2023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眼科光学</w:t>
            </w:r>
            <w:r>
              <w:rPr>
                <w:rFonts w:eastAsia="仿宋_GB2312"/>
                <w:color w:val="000000"/>
                <w:sz w:val="24"/>
              </w:rPr>
              <w:t xml:space="preserve"> </w:t>
            </w:r>
            <w:r>
              <w:rPr>
                <w:rFonts w:eastAsia="仿宋_GB2312"/>
                <w:color w:val="000000"/>
                <w:sz w:val="24"/>
              </w:rPr>
              <w:t>眼内填充物</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0862-2011</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本文件规定了有关眼内填充物的预期性能、设计属性、设计评价、灭菌、产品稳定性、输送系统的完整性及性能、包装、制造商提供的信息等通用要求。本文件适用于眼内填</w:t>
            </w:r>
            <w:r>
              <w:rPr>
                <w:rFonts w:eastAsia="仿宋_GB2312"/>
                <w:color w:val="000000"/>
                <w:sz w:val="24"/>
              </w:rPr>
              <w:t>充物。</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12</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0893-2023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医用气体混合器</w:t>
            </w:r>
            <w:r>
              <w:rPr>
                <w:rFonts w:eastAsia="仿宋_GB2312"/>
                <w:color w:val="000000"/>
                <w:sz w:val="24"/>
              </w:rPr>
              <w:t xml:space="preserve"> </w:t>
            </w:r>
            <w:r>
              <w:rPr>
                <w:rFonts w:eastAsia="仿宋_GB2312"/>
                <w:color w:val="000000"/>
                <w:sz w:val="24"/>
              </w:rPr>
              <w:t>独立气体混合器</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0893-2013</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预期用于将氧气与另一种医用气体混合的独立气体混合器的性能和安全要求。本文件不适用于每种气体流量独立控制的流量计组，混合氧气和周围空气的独立气体混合器，具有两个以上不同气体进气口的独立气体混合器，与氧气浓缩器相连的独立气体混合器。</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4321"/>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13</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1268-2023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环氧乙烷灭菌的产品追加和过程等效</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1268-2015</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w:t>
            </w:r>
            <w:r>
              <w:rPr>
                <w:rFonts w:eastAsia="仿宋_GB2312"/>
                <w:color w:val="000000"/>
                <w:sz w:val="24"/>
              </w:rPr>
              <w:t>件规定了医疗器械环氧乙烷灭菌过程中新产品或变更的产品追加到已经确认的灭菌过程的要求，并为使用不同灭菌设备时评估灭菌过程等效性提供方法。本文件适用于经环氧乙烷灭菌处理、采用传统放行或参数放行的医疗器械。本文件适用的医疗器械环氧乙烷灭菌情况包括：</w:t>
            </w:r>
            <w:r>
              <w:rPr>
                <w:rFonts w:eastAsia="仿宋_GB2312"/>
                <w:color w:val="000000"/>
                <w:sz w:val="24"/>
              </w:rPr>
              <w:t xml:space="preserve">a) </w:t>
            </w:r>
            <w:r>
              <w:rPr>
                <w:rFonts w:eastAsia="仿宋_GB2312"/>
                <w:color w:val="000000"/>
                <w:sz w:val="24"/>
              </w:rPr>
              <w:t>在已经确认的环氧乙烷灭菌过程中增加新产品；</w:t>
            </w:r>
            <w:r>
              <w:rPr>
                <w:rFonts w:eastAsia="仿宋_GB2312"/>
                <w:color w:val="000000"/>
                <w:sz w:val="24"/>
              </w:rPr>
              <w:t xml:space="preserve">b) </w:t>
            </w:r>
            <w:r>
              <w:rPr>
                <w:rFonts w:eastAsia="仿宋_GB2312"/>
                <w:color w:val="000000"/>
                <w:sz w:val="24"/>
              </w:rPr>
              <w:t>评估已确认产品的变更；</w:t>
            </w:r>
            <w:r>
              <w:rPr>
                <w:rFonts w:eastAsia="仿宋_GB2312"/>
                <w:color w:val="000000"/>
                <w:sz w:val="24"/>
              </w:rPr>
              <w:t xml:space="preserve">c) </w:t>
            </w:r>
            <w:r>
              <w:rPr>
                <w:rFonts w:eastAsia="仿宋_GB2312"/>
                <w:color w:val="000000"/>
                <w:sz w:val="24"/>
              </w:rPr>
              <w:t>已确认的过程转移到不同的场地或设备；</w:t>
            </w:r>
            <w:r>
              <w:rPr>
                <w:rFonts w:eastAsia="仿宋_GB2312"/>
                <w:color w:val="000000"/>
                <w:sz w:val="24"/>
              </w:rPr>
              <w:t xml:space="preserve">d) </w:t>
            </w:r>
            <w:r>
              <w:rPr>
                <w:rFonts w:eastAsia="仿宋_GB2312"/>
                <w:color w:val="000000"/>
                <w:sz w:val="24"/>
              </w:rPr>
              <w:t>评估灭菌过程的等效性。</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531"/>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14</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1411-2023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牙科治疗机水路生物膜处理的试验方法</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w:t>
            </w:r>
            <w:r>
              <w:rPr>
                <w:rFonts w:eastAsia="仿宋_GB2312"/>
                <w:color w:val="000000"/>
                <w:sz w:val="24"/>
              </w:rPr>
              <w:t>411-2016</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提供了型式检验的方法，主要用于评估在实验室条件下对牙科治疗机水路系统中的生物膜防止、抑制其形成或去除的处理方法的有效性。本文件不适用于输送无菌处理水或无菌溶液的设备，也不适用于在牙科治疗机内输送压缩空气的管线、管道或软管。本文件对相应的微生物学指标不做限度规定。所述方法不适用于临床条件。本文件也未建立用于评估可能由处理方法引起的任何有害副作用的试验方法。本文件提供的试验方法可用于测试其他向口腔输送非无菌水的牙科设备。</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15</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1789.5-2023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体外</w:t>
            </w:r>
            <w:r>
              <w:rPr>
                <w:rFonts w:eastAsia="仿宋_GB2312"/>
                <w:color w:val="000000"/>
                <w:sz w:val="24"/>
              </w:rPr>
              <w:t>诊断检验系统</w:t>
            </w:r>
            <w:r>
              <w:rPr>
                <w:rFonts w:eastAsia="仿宋_GB2312"/>
                <w:color w:val="000000"/>
                <w:sz w:val="24"/>
              </w:rPr>
              <w:t xml:space="preserve"> </w:t>
            </w:r>
            <w:r>
              <w:rPr>
                <w:rFonts w:eastAsia="仿宋_GB2312"/>
                <w:color w:val="000000"/>
                <w:sz w:val="24"/>
              </w:rPr>
              <w:t>性能评价方法</w:t>
            </w:r>
            <w:r>
              <w:rPr>
                <w:rFonts w:eastAsia="仿宋_GB2312"/>
                <w:color w:val="000000"/>
                <w:sz w:val="24"/>
              </w:rPr>
              <w:t xml:space="preserve"> </w:t>
            </w:r>
            <w:r>
              <w:rPr>
                <w:rFonts w:eastAsia="仿宋_GB2312"/>
                <w:color w:val="000000"/>
                <w:sz w:val="24"/>
              </w:rPr>
              <w:t>第</w:t>
            </w:r>
            <w:r>
              <w:rPr>
                <w:rFonts w:eastAsia="仿宋_GB2312"/>
                <w:color w:val="000000"/>
                <w:sz w:val="24"/>
              </w:rPr>
              <w:t>5</w:t>
            </w:r>
            <w:r>
              <w:rPr>
                <w:rFonts w:eastAsia="仿宋_GB2312"/>
                <w:color w:val="000000"/>
                <w:sz w:val="24"/>
              </w:rPr>
              <w:t>部分：分析特异性</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体外诊断检验系统的分析特异性性能评价方法。本文件适用于制造商对定量检验的体外诊断检验系统进行分析特异性评价、基于定量测量并通过阈值判断结果的定性体外诊断检验系统（例如酶联免疫吸附法的病原微生物抗原或抗体检测试剂盒）的分析特异性评价。本文件不适用于结果报告为名义标度和序数标度的体外诊断检验系统，例如用于血细胞鉴定、微生物鉴定、核酸序列鉴定、尿液颗粒鉴定体外诊断检验系统的性能评价。本文件不适用于医学实验室的性能验证，也不适用于产品型式检验</w:t>
            </w:r>
            <w:r>
              <w:rPr>
                <w:rFonts w:eastAsia="仿宋_GB2312"/>
                <w:color w:val="000000"/>
                <w:sz w:val="24"/>
              </w:rPr>
              <w:t>。</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46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16</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1856-2023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血液、静脉药液、灌洗液加温器安全通用要求</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本文件规定了血液、静脉药液、灌洗液流体加温器的安全通用要求。本文件适用于血液、静脉药液、灌洗液流体加温器。本文件不适用于：非管路用流体加温器，如加温柜、新鲜冷冻血浆</w:t>
            </w:r>
            <w:r>
              <w:rPr>
                <w:rFonts w:eastAsia="仿宋_GB2312"/>
                <w:color w:val="000000"/>
                <w:sz w:val="24"/>
              </w:rPr>
              <w:t>/</w:t>
            </w:r>
            <w:r>
              <w:rPr>
                <w:rFonts w:eastAsia="仿宋_GB2312"/>
                <w:color w:val="000000"/>
                <w:sz w:val="24"/>
              </w:rPr>
              <w:t>新鲜红细胞解冻装置、电煲加热器；体外</w:t>
            </w:r>
            <w:r>
              <w:rPr>
                <w:rFonts w:eastAsia="仿宋_GB2312"/>
                <w:color w:val="000000"/>
                <w:sz w:val="24"/>
              </w:rPr>
              <w:t>/</w:t>
            </w:r>
            <w:r>
              <w:rPr>
                <w:rFonts w:eastAsia="仿宋_GB2312"/>
                <w:color w:val="000000"/>
                <w:sz w:val="24"/>
              </w:rPr>
              <w:t>心脏搭桥加温循环系统；集成到透析装置上的加温器。</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2025</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17</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1866-2023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一次性使用无菌肛肠套扎器</w:t>
            </w:r>
            <w:r>
              <w:rPr>
                <w:rFonts w:eastAsia="仿宋_GB2312"/>
                <w:color w:val="000000"/>
                <w:sz w:val="24"/>
              </w:rPr>
              <w:t xml:space="preserve"> </w:t>
            </w:r>
            <w:r>
              <w:rPr>
                <w:rFonts w:eastAsia="仿宋_GB2312"/>
                <w:color w:val="000000"/>
                <w:sz w:val="24"/>
              </w:rPr>
              <w:t>胶圈或弹力线式</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本文件规定了一次性使用无菌肛肠</w:t>
            </w:r>
            <w:r>
              <w:rPr>
                <w:rFonts w:eastAsia="仿宋_GB2312"/>
                <w:color w:val="000000"/>
                <w:sz w:val="24"/>
              </w:rPr>
              <w:t>套扎器胶圈或弹力线式（以下简称套扎器）的结构和材料、要求、试验方法、标签、说明书和包装。本文件适用于套扎治疗各期内痔及混合痔或直肠良性息肉的套扎器。</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5826"/>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18</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1874-2023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有源植入式医疗器械</w:t>
            </w:r>
            <w:r>
              <w:rPr>
                <w:rFonts w:eastAsia="仿宋_GB2312"/>
                <w:color w:val="000000"/>
                <w:sz w:val="24"/>
              </w:rPr>
              <w:t xml:space="preserve"> </w:t>
            </w:r>
            <w:r>
              <w:rPr>
                <w:rFonts w:eastAsia="仿宋_GB2312"/>
                <w:color w:val="000000"/>
                <w:sz w:val="24"/>
              </w:rPr>
              <w:t>电磁兼容</w:t>
            </w:r>
            <w:r>
              <w:rPr>
                <w:rFonts w:eastAsia="仿宋_GB2312"/>
                <w:color w:val="000000"/>
                <w:sz w:val="24"/>
              </w:rPr>
              <w:t xml:space="preserve"> </w:t>
            </w:r>
            <w:r>
              <w:rPr>
                <w:rFonts w:eastAsia="仿宋_GB2312"/>
                <w:color w:val="000000"/>
                <w:sz w:val="24"/>
              </w:rPr>
              <w:t>植入式心脏起搏器、植入式心律转复除颤器和心脏再同步器械的电磁兼容测试细则</w:t>
            </w:r>
            <w:r>
              <w:rPr>
                <w:rFonts w:eastAsia="仿宋_GB2312"/>
                <w:color w:val="000000"/>
                <w:sz w:val="24"/>
              </w:rPr>
              <w:t xml:space="preserve"> </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本文件规定了用于评价可与经静脉电极导线系统一起提供一种或多种心动过缓、心动过速和心脏再同步等治疗的有源植入式心血管器械的电磁兼容（</w:t>
            </w:r>
            <w:r>
              <w:rPr>
                <w:rFonts w:eastAsia="仿宋_GB2312"/>
                <w:color w:val="000000"/>
                <w:sz w:val="24"/>
              </w:rPr>
              <w:t>EMC</w:t>
            </w:r>
            <w:r>
              <w:rPr>
                <w:rFonts w:eastAsia="仿宋_GB2312"/>
                <w:color w:val="000000"/>
                <w:sz w:val="24"/>
              </w:rPr>
              <w:t>）试验方法。本文件规定了此类器械与可运行于下列两个</w:t>
            </w:r>
            <w:r>
              <w:rPr>
                <w:rFonts w:eastAsia="仿宋_GB2312"/>
                <w:color w:val="000000"/>
                <w:sz w:val="24"/>
              </w:rPr>
              <w:t>E</w:t>
            </w:r>
            <w:r>
              <w:rPr>
                <w:rFonts w:eastAsia="仿宋_GB2312"/>
                <w:color w:val="000000"/>
                <w:sz w:val="24"/>
              </w:rPr>
              <w:t>M</w:t>
            </w:r>
            <w:r>
              <w:rPr>
                <w:rFonts w:eastAsia="仿宋_GB2312"/>
                <w:color w:val="000000"/>
                <w:sz w:val="24"/>
              </w:rPr>
              <w:t>频谱范围内的</w:t>
            </w:r>
            <w:r>
              <w:rPr>
                <w:rFonts w:eastAsia="仿宋_GB2312"/>
                <w:color w:val="000000"/>
                <w:sz w:val="24"/>
              </w:rPr>
              <w:t>EM</w:t>
            </w:r>
            <w:r>
              <w:rPr>
                <w:rFonts w:eastAsia="仿宋_GB2312"/>
                <w:color w:val="000000"/>
                <w:sz w:val="24"/>
              </w:rPr>
              <w:t>发射器发生相互作用时的性能界限：</w:t>
            </w:r>
            <w:r>
              <w:rPr>
                <w:rFonts w:eastAsia="仿宋_GB2312"/>
                <w:color w:val="000000"/>
                <w:sz w:val="24"/>
              </w:rPr>
              <w:t xml:space="preserve">0 Hz ≤ f </w:t>
            </w:r>
            <w:r>
              <w:rPr>
                <w:rFonts w:eastAsia="仿宋_GB2312"/>
                <w:color w:val="000000"/>
                <w:sz w:val="24"/>
              </w:rPr>
              <w:t>＜</w:t>
            </w:r>
            <w:r>
              <w:rPr>
                <w:rFonts w:eastAsia="仿宋_GB2312"/>
                <w:color w:val="000000"/>
                <w:sz w:val="24"/>
              </w:rPr>
              <w:t xml:space="preserve"> 385 MHz</w:t>
            </w:r>
            <w:r>
              <w:rPr>
                <w:rFonts w:eastAsia="仿宋_GB2312"/>
                <w:color w:val="000000"/>
                <w:sz w:val="24"/>
              </w:rPr>
              <w:t>；</w:t>
            </w:r>
            <w:r>
              <w:rPr>
                <w:rFonts w:eastAsia="仿宋_GB2312"/>
                <w:color w:val="000000"/>
                <w:sz w:val="24"/>
              </w:rPr>
              <w:t>385 MHz ≤ f ≤ 3000 MHz</w:t>
            </w:r>
            <w:r>
              <w:rPr>
                <w:rFonts w:eastAsia="仿宋_GB2312"/>
                <w:color w:val="000000"/>
                <w:sz w:val="24"/>
              </w:rPr>
              <w:t>。本文件还规定了保护此类器械免受医疗环境</w:t>
            </w:r>
            <w:r>
              <w:rPr>
                <w:rFonts w:eastAsia="仿宋_GB2312"/>
                <w:color w:val="000000"/>
                <w:sz w:val="24"/>
              </w:rPr>
              <w:t>EM</w:t>
            </w:r>
            <w:r>
              <w:rPr>
                <w:rFonts w:eastAsia="仿宋_GB2312"/>
                <w:color w:val="000000"/>
                <w:sz w:val="24"/>
              </w:rPr>
              <w:t>场影响的要求，定义了所需的随附文件，并提供了关于</w:t>
            </w:r>
            <w:r>
              <w:rPr>
                <w:rFonts w:eastAsia="仿宋_GB2312"/>
                <w:color w:val="000000"/>
                <w:sz w:val="24"/>
              </w:rPr>
              <w:t>EM</w:t>
            </w:r>
            <w:r>
              <w:rPr>
                <w:rFonts w:eastAsia="仿宋_GB2312"/>
                <w:color w:val="000000"/>
                <w:sz w:val="24"/>
              </w:rPr>
              <w:t>发射器制造商与预期的抗扰度等级信息。本文件适用于可与经静脉电极导线系统一起提供一种或多种心动过缓、心动过速和心脏再同步等治疗的有源植入式心血管器械。</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lastRenderedPageBreak/>
              <w:t>19</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1882-2023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梅毒螺旋体抗体检测试剂盒（发光免疫分析法）</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本文件规定了梅毒螺旋体</w:t>
            </w:r>
            <w:r>
              <w:rPr>
                <w:rFonts w:eastAsia="仿宋_GB2312"/>
                <w:color w:val="000000"/>
                <w:sz w:val="24"/>
              </w:rPr>
              <w:t>抗体检测试剂盒（发光免疫分析法）的要求、试验方法、标识、标签和使用说明书、包装、运输和贮存。本文件适用于以夹心法或间接法为基本原理，使用化学发光免疫分析法、免疫荧光分析法、时间分辨免疫荧光分析法定性检测人血清和</w:t>
            </w:r>
            <w:r>
              <w:rPr>
                <w:rFonts w:eastAsia="仿宋_GB2312"/>
                <w:color w:val="000000"/>
                <w:sz w:val="24"/>
              </w:rPr>
              <w:t>/</w:t>
            </w:r>
            <w:r>
              <w:rPr>
                <w:rFonts w:eastAsia="仿宋_GB2312"/>
                <w:color w:val="000000"/>
                <w:sz w:val="24"/>
              </w:rPr>
              <w:t>或血浆中的梅毒螺旋体抗体。</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11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45"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bCs/>
                <w:sz w:val="24"/>
              </w:rPr>
            </w:pPr>
            <w:r>
              <w:rPr>
                <w:rFonts w:eastAsia="仿宋_GB2312"/>
                <w:bCs/>
                <w:sz w:val="24"/>
              </w:rPr>
              <w:t>20</w:t>
            </w:r>
          </w:p>
        </w:tc>
        <w:tc>
          <w:tcPr>
            <w:tcW w:w="162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YY/T 1883-2023</w:t>
            </w:r>
          </w:p>
        </w:tc>
        <w:tc>
          <w:tcPr>
            <w:tcW w:w="1939"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Rh</w:t>
            </w:r>
            <w:r>
              <w:rPr>
                <w:rFonts w:eastAsia="仿宋_GB2312"/>
                <w:color w:val="000000"/>
                <w:sz w:val="24"/>
              </w:rPr>
              <w:t>血型</w:t>
            </w:r>
            <w:r>
              <w:rPr>
                <w:rFonts w:eastAsia="仿宋_GB2312"/>
                <w:color w:val="000000"/>
                <w:sz w:val="24"/>
              </w:rPr>
              <w:t>C</w:t>
            </w:r>
            <w:r>
              <w:rPr>
                <w:rFonts w:eastAsia="仿宋_GB2312"/>
                <w:color w:val="000000"/>
                <w:sz w:val="24"/>
              </w:rPr>
              <w:t>、</w:t>
            </w:r>
            <w:r>
              <w:rPr>
                <w:rFonts w:eastAsia="仿宋_GB2312"/>
                <w:color w:val="000000"/>
                <w:sz w:val="24"/>
              </w:rPr>
              <w:t>c</w:t>
            </w:r>
            <w:r>
              <w:rPr>
                <w:rFonts w:eastAsia="仿宋_GB2312"/>
                <w:color w:val="000000"/>
                <w:sz w:val="24"/>
              </w:rPr>
              <w:t>、</w:t>
            </w:r>
            <w:r>
              <w:rPr>
                <w:rFonts w:eastAsia="仿宋_GB2312"/>
                <w:color w:val="000000"/>
                <w:sz w:val="24"/>
              </w:rPr>
              <w:t>E</w:t>
            </w:r>
            <w:r>
              <w:rPr>
                <w:rFonts w:eastAsia="仿宋_GB2312"/>
                <w:color w:val="000000"/>
                <w:sz w:val="24"/>
              </w:rPr>
              <w:t>、</w:t>
            </w:r>
            <w:r>
              <w:rPr>
                <w:rFonts w:eastAsia="仿宋_GB2312"/>
                <w:color w:val="000000"/>
                <w:sz w:val="24"/>
              </w:rPr>
              <w:t>e</w:t>
            </w:r>
            <w:r>
              <w:rPr>
                <w:rFonts w:eastAsia="仿宋_GB2312"/>
                <w:color w:val="000000"/>
                <w:sz w:val="24"/>
              </w:rPr>
              <w:t>抗原检测卡（柱凝集法）</w:t>
            </w:r>
          </w:p>
        </w:tc>
        <w:tc>
          <w:tcPr>
            <w:tcW w:w="600"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rPr>
            </w:pPr>
            <w:r>
              <w:rPr>
                <w:rFonts w:eastAsia="仿宋_GB2312"/>
                <w:color w:val="000000"/>
                <w:sz w:val="24"/>
              </w:rPr>
              <w:t>本文件规定了</w:t>
            </w:r>
            <w:r>
              <w:rPr>
                <w:rFonts w:eastAsia="仿宋_GB2312"/>
                <w:color w:val="000000"/>
                <w:sz w:val="24"/>
              </w:rPr>
              <w:t>Rh</w:t>
            </w:r>
            <w:r>
              <w:rPr>
                <w:rFonts w:eastAsia="仿宋_GB2312"/>
                <w:color w:val="000000"/>
                <w:sz w:val="24"/>
              </w:rPr>
              <w:t>血型</w:t>
            </w:r>
            <w:r>
              <w:rPr>
                <w:rFonts w:eastAsia="仿宋_GB2312"/>
                <w:color w:val="000000"/>
                <w:sz w:val="24"/>
              </w:rPr>
              <w:t>C</w:t>
            </w:r>
            <w:r>
              <w:rPr>
                <w:rFonts w:eastAsia="仿宋_GB2312"/>
                <w:color w:val="000000"/>
                <w:sz w:val="24"/>
              </w:rPr>
              <w:t>、</w:t>
            </w:r>
            <w:r>
              <w:rPr>
                <w:rFonts w:eastAsia="仿宋_GB2312"/>
                <w:color w:val="000000"/>
                <w:sz w:val="24"/>
              </w:rPr>
              <w:t>c</w:t>
            </w:r>
            <w:r>
              <w:rPr>
                <w:rFonts w:eastAsia="仿宋_GB2312"/>
                <w:color w:val="000000"/>
                <w:sz w:val="24"/>
              </w:rPr>
              <w:t>、</w:t>
            </w:r>
            <w:r>
              <w:rPr>
                <w:rFonts w:eastAsia="仿宋_GB2312"/>
                <w:color w:val="000000"/>
                <w:sz w:val="24"/>
              </w:rPr>
              <w:t>E</w:t>
            </w:r>
            <w:r>
              <w:rPr>
                <w:rFonts w:eastAsia="仿宋_GB2312"/>
                <w:color w:val="000000"/>
                <w:sz w:val="24"/>
              </w:rPr>
              <w:t>、</w:t>
            </w:r>
            <w:r>
              <w:rPr>
                <w:rFonts w:eastAsia="仿宋_GB2312"/>
                <w:color w:val="000000"/>
                <w:sz w:val="24"/>
              </w:rPr>
              <w:t>e</w:t>
            </w:r>
            <w:r>
              <w:rPr>
                <w:rFonts w:eastAsia="仿宋_GB2312"/>
                <w:color w:val="000000"/>
                <w:sz w:val="24"/>
              </w:rPr>
              <w:t>抗原检测卡（柱凝集法）的要求、试验方法、标签和使用说明书、包装、运输和贮存等。本文件适用于以凝胶、玻璃微珠等材料进行填充的</w:t>
            </w:r>
            <w:r>
              <w:rPr>
                <w:rFonts w:eastAsia="仿宋_GB2312"/>
                <w:color w:val="000000"/>
                <w:sz w:val="24"/>
              </w:rPr>
              <w:t>微柱，微柱中抗</w:t>
            </w:r>
            <w:r>
              <w:rPr>
                <w:rFonts w:eastAsia="仿宋_GB2312"/>
                <w:color w:val="000000"/>
                <w:sz w:val="24"/>
              </w:rPr>
              <w:t>C</w:t>
            </w:r>
            <w:r>
              <w:rPr>
                <w:rFonts w:eastAsia="仿宋_GB2312"/>
                <w:color w:val="000000"/>
                <w:sz w:val="24"/>
              </w:rPr>
              <w:t>、</w:t>
            </w:r>
            <w:r>
              <w:rPr>
                <w:rFonts w:eastAsia="仿宋_GB2312"/>
                <w:color w:val="000000"/>
                <w:sz w:val="24"/>
              </w:rPr>
              <w:t>c</w:t>
            </w:r>
            <w:r>
              <w:rPr>
                <w:rFonts w:eastAsia="仿宋_GB2312"/>
                <w:color w:val="000000"/>
                <w:sz w:val="24"/>
              </w:rPr>
              <w:t>、</w:t>
            </w:r>
            <w:r>
              <w:rPr>
                <w:rFonts w:eastAsia="仿宋_GB2312"/>
                <w:color w:val="000000"/>
                <w:sz w:val="24"/>
              </w:rPr>
              <w:t>E</w:t>
            </w:r>
            <w:r>
              <w:rPr>
                <w:rFonts w:eastAsia="仿宋_GB2312"/>
                <w:color w:val="000000"/>
                <w:sz w:val="24"/>
              </w:rPr>
              <w:t>、</w:t>
            </w:r>
            <w:r>
              <w:rPr>
                <w:rFonts w:eastAsia="仿宋_GB2312"/>
                <w:color w:val="000000"/>
                <w:sz w:val="24"/>
              </w:rPr>
              <w:t>e</w:t>
            </w:r>
            <w:r>
              <w:rPr>
                <w:rFonts w:eastAsia="仿宋_GB2312"/>
                <w:color w:val="000000"/>
                <w:sz w:val="24"/>
              </w:rPr>
              <w:t>为</w:t>
            </w:r>
            <w:r>
              <w:rPr>
                <w:rFonts w:eastAsia="仿宋_GB2312"/>
                <w:color w:val="000000"/>
                <w:sz w:val="24"/>
              </w:rPr>
              <w:t>IgM</w:t>
            </w:r>
            <w:r>
              <w:rPr>
                <w:rFonts w:eastAsia="仿宋_GB2312"/>
                <w:color w:val="000000"/>
                <w:sz w:val="24"/>
              </w:rPr>
              <w:t>类型的单克隆抗体，采用免疫血液学、颗粒过筛和离心技术三者结合的原理，进行定性检测的</w:t>
            </w:r>
            <w:r>
              <w:rPr>
                <w:rFonts w:eastAsia="仿宋_GB2312"/>
                <w:color w:val="000000"/>
                <w:sz w:val="24"/>
              </w:rPr>
              <w:t>Rh</w:t>
            </w:r>
            <w:r>
              <w:rPr>
                <w:rFonts w:eastAsia="仿宋_GB2312"/>
                <w:color w:val="000000"/>
                <w:sz w:val="24"/>
              </w:rPr>
              <w:t>血型系统中</w:t>
            </w:r>
            <w:r>
              <w:rPr>
                <w:rFonts w:eastAsia="仿宋_GB2312"/>
                <w:color w:val="000000"/>
                <w:sz w:val="24"/>
              </w:rPr>
              <w:t>C</w:t>
            </w:r>
            <w:r>
              <w:rPr>
                <w:rFonts w:eastAsia="仿宋_GB2312"/>
                <w:color w:val="000000"/>
                <w:sz w:val="24"/>
              </w:rPr>
              <w:t>、</w:t>
            </w:r>
            <w:r>
              <w:rPr>
                <w:rFonts w:eastAsia="仿宋_GB2312"/>
                <w:color w:val="000000"/>
                <w:sz w:val="24"/>
              </w:rPr>
              <w:t>c</w:t>
            </w:r>
            <w:r>
              <w:rPr>
                <w:rFonts w:eastAsia="仿宋_GB2312"/>
                <w:color w:val="000000"/>
                <w:sz w:val="24"/>
              </w:rPr>
              <w:t>、</w:t>
            </w:r>
            <w:r>
              <w:rPr>
                <w:rFonts w:eastAsia="仿宋_GB2312"/>
                <w:color w:val="000000"/>
                <w:sz w:val="24"/>
              </w:rPr>
              <w:t>E</w:t>
            </w:r>
            <w:r>
              <w:rPr>
                <w:rFonts w:eastAsia="仿宋_GB2312"/>
                <w:color w:val="000000"/>
                <w:sz w:val="24"/>
              </w:rPr>
              <w:t>、</w:t>
            </w:r>
            <w:r>
              <w:rPr>
                <w:rFonts w:eastAsia="仿宋_GB2312"/>
                <w:color w:val="000000"/>
                <w:sz w:val="24"/>
              </w:rPr>
              <w:t>e</w:t>
            </w:r>
            <w:r>
              <w:rPr>
                <w:rFonts w:eastAsia="仿宋_GB2312"/>
                <w:color w:val="000000"/>
                <w:sz w:val="24"/>
              </w:rPr>
              <w:t>四种抗原的检测试剂。本文件不适用于血源筛查进行</w:t>
            </w:r>
            <w:r>
              <w:rPr>
                <w:rFonts w:eastAsia="仿宋_GB2312"/>
                <w:color w:val="000000"/>
                <w:sz w:val="24"/>
              </w:rPr>
              <w:t>Rh</w:t>
            </w:r>
            <w:r>
              <w:rPr>
                <w:rFonts w:eastAsia="仿宋_GB2312"/>
                <w:color w:val="000000"/>
                <w:sz w:val="24"/>
              </w:rPr>
              <w:t>血型</w:t>
            </w:r>
            <w:r>
              <w:rPr>
                <w:rFonts w:eastAsia="仿宋_GB2312"/>
                <w:color w:val="000000"/>
                <w:sz w:val="24"/>
              </w:rPr>
              <w:t>C</w:t>
            </w:r>
            <w:r>
              <w:rPr>
                <w:rFonts w:eastAsia="仿宋_GB2312"/>
                <w:color w:val="000000"/>
                <w:sz w:val="24"/>
              </w:rPr>
              <w:t>、</w:t>
            </w:r>
            <w:r>
              <w:rPr>
                <w:rFonts w:eastAsia="仿宋_GB2312"/>
                <w:color w:val="000000"/>
                <w:sz w:val="24"/>
              </w:rPr>
              <w:t>c</w:t>
            </w:r>
            <w:r>
              <w:rPr>
                <w:rFonts w:eastAsia="仿宋_GB2312"/>
                <w:color w:val="000000"/>
                <w:sz w:val="24"/>
              </w:rPr>
              <w:t>、</w:t>
            </w:r>
            <w:r>
              <w:rPr>
                <w:rFonts w:eastAsia="仿宋_GB2312"/>
                <w:color w:val="000000"/>
                <w:sz w:val="24"/>
              </w:rPr>
              <w:t>E</w:t>
            </w:r>
            <w:r>
              <w:rPr>
                <w:rFonts w:eastAsia="仿宋_GB2312"/>
                <w:color w:val="000000"/>
                <w:sz w:val="24"/>
              </w:rPr>
              <w:t>、</w:t>
            </w:r>
            <w:r>
              <w:rPr>
                <w:rFonts w:eastAsia="仿宋_GB2312"/>
                <w:color w:val="000000"/>
                <w:sz w:val="24"/>
              </w:rPr>
              <w:t>e</w:t>
            </w:r>
            <w:r>
              <w:rPr>
                <w:rFonts w:eastAsia="仿宋_GB2312"/>
                <w:color w:val="000000"/>
                <w:sz w:val="24"/>
              </w:rPr>
              <w:t>抗原检测的诊断试剂。</w:t>
            </w:r>
          </w:p>
        </w:tc>
        <w:tc>
          <w:tcPr>
            <w:tcW w:w="1901" w:type="dxa"/>
            <w:tcMar>
              <w:top w:w="28" w:type="dxa"/>
              <w:left w:w="28" w:type="dxa"/>
              <w:bottom w:w="28" w:type="dxa"/>
              <w:right w:w="28" w:type="dxa"/>
            </w:tcMar>
            <w:vAlign w:val="center"/>
          </w:tcPr>
          <w:p w:rsidR="00000000" w:rsidRDefault="005F110F">
            <w:pPr>
              <w:adjustRightInd w:val="0"/>
              <w:snapToGrid w:val="0"/>
              <w:spacing w:line="360" w:lineRule="exact"/>
              <w:jc w:val="center"/>
              <w:rPr>
                <w:rFonts w:eastAsia="仿宋_GB2312"/>
                <w:color w:val="000000"/>
                <w:sz w:val="24"/>
                <w:lang w:val="en"/>
              </w:rPr>
            </w:pPr>
            <w:r>
              <w:rPr>
                <w:rFonts w:eastAsia="仿宋_GB2312"/>
                <w:color w:val="000000"/>
                <w:sz w:val="24"/>
              </w:rPr>
              <w:t>2024</w:t>
            </w:r>
            <w:r>
              <w:rPr>
                <w:rFonts w:eastAsia="仿宋_GB2312"/>
                <w:color w:val="000000"/>
                <w:sz w:val="24"/>
              </w:rPr>
              <w:t>年</w:t>
            </w:r>
            <w:r>
              <w:rPr>
                <w:rFonts w:eastAsia="仿宋_GB2312"/>
                <w:color w:val="000000"/>
                <w:sz w:val="24"/>
                <w:lang w:val="en"/>
              </w:rPr>
              <w:t>5</w:t>
            </w:r>
            <w:r>
              <w:rPr>
                <w:rFonts w:eastAsia="仿宋_GB2312"/>
                <w:color w:val="000000"/>
                <w:sz w:val="24"/>
              </w:rPr>
              <w:t>月</w:t>
            </w:r>
            <w:r>
              <w:rPr>
                <w:rFonts w:eastAsia="仿宋_GB2312"/>
                <w:color w:val="000000"/>
                <w:sz w:val="24"/>
                <w:lang w:val="en"/>
              </w:rPr>
              <w:t>1</w:t>
            </w:r>
            <w:r>
              <w:rPr>
                <w:rFonts w:eastAsia="仿宋_GB2312"/>
                <w:color w:val="000000"/>
                <w:sz w:val="24"/>
              </w:rPr>
              <w:t>日</w:t>
            </w:r>
          </w:p>
        </w:tc>
      </w:tr>
    </w:tbl>
    <w:p w:rsidR="005F110F" w:rsidRDefault="005F110F" w:rsidP="003F2D85">
      <w:pPr>
        <w:rPr>
          <w:rFonts w:ascii="仿宋_GB2312" w:eastAsia="仿宋_GB2312" w:hAnsi="仿宋" w:hint="eastAsia"/>
          <w:sz w:val="28"/>
          <w:szCs w:val="28"/>
        </w:rPr>
      </w:pPr>
      <w:bookmarkStart w:id="1" w:name="_GoBack"/>
      <w:bookmarkEnd w:id="1"/>
    </w:p>
    <w:sectPr w:rsidR="005F110F" w:rsidSect="003F2D85">
      <w:footerReference w:type="even" r:id="rId6"/>
      <w:footerReference w:type="default" r:id="rId7"/>
      <w:pgSz w:w="16838" w:h="11906" w:orient="landscape"/>
      <w:pgMar w:top="1531" w:right="1928" w:bottom="1531"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10F" w:rsidRDefault="005F110F">
      <w:r>
        <w:separator/>
      </w:r>
    </w:p>
  </w:endnote>
  <w:endnote w:type="continuationSeparator" w:id="0">
    <w:p w:rsidR="005F110F" w:rsidRDefault="005F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F2D85">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3810" t="3175" r="0"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F110F">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w:instrText>
                          </w:r>
                          <w:r>
                            <w:rPr>
                              <w:sz w:val="28"/>
                              <w:szCs w:val="28"/>
                            </w:rPr>
                            <w:instrText xml:space="preserve">AT </w:instrText>
                          </w:r>
                          <w:r>
                            <w:rPr>
                              <w:sz w:val="28"/>
                              <w:szCs w:val="28"/>
                            </w:rPr>
                            <w:fldChar w:fldCharType="separate"/>
                          </w:r>
                          <w:r w:rsidR="003F2D85">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0l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M+dDSXA&#10;AgAAswUAAA4AAAAAAAAAAAAAAAAALgIAAGRycy9lMm9Eb2MueG1sUEsBAi0AFAAGAAgAAAAhAGKt&#10;2y/YAAAABAEAAA8AAAAAAAAAAAAAAAAAGgUAAGRycy9kb3ducmV2LnhtbFBLBQYAAAAABAAEAPMA&#10;AAAfBgAAAAA=&#10;" filled="f" stroked="f">
              <v:textbox style="mso-fit-shape-to-text:t" inset="0,0,0,0">
                <w:txbxContent>
                  <w:p w:rsidR="00000000" w:rsidRDefault="005F110F">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w:instrText>
                    </w:r>
                    <w:r>
                      <w:rPr>
                        <w:sz w:val="28"/>
                        <w:szCs w:val="28"/>
                      </w:rPr>
                      <w:instrText xml:space="preserve">AT </w:instrText>
                    </w:r>
                    <w:r>
                      <w:rPr>
                        <w:sz w:val="28"/>
                        <w:szCs w:val="28"/>
                      </w:rPr>
                      <w:fldChar w:fldCharType="separate"/>
                    </w:r>
                    <w:r w:rsidR="003F2D85">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F2D85">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F110F">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F2D85">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5F110F">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F2D85">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10F" w:rsidRDefault="005F110F">
      <w:r>
        <w:separator/>
      </w:r>
    </w:p>
  </w:footnote>
  <w:footnote w:type="continuationSeparator" w:id="0">
    <w:p w:rsidR="005F110F" w:rsidRDefault="005F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3F2D85"/>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110F"/>
    <w:rsid w:val="005F4ADA"/>
    <w:rsid w:val="00604B13"/>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3196"/>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DBF545A"/>
    <w:rsid w:val="1EB9E61B"/>
    <w:rsid w:val="27FEC74B"/>
    <w:rsid w:val="2A8D465A"/>
    <w:rsid w:val="3A7DB31D"/>
    <w:rsid w:val="3BFBB99B"/>
    <w:rsid w:val="3F4D31BA"/>
    <w:rsid w:val="43E2636A"/>
    <w:rsid w:val="4C1A048F"/>
    <w:rsid w:val="575D3690"/>
    <w:rsid w:val="591D3208"/>
    <w:rsid w:val="5B7790E4"/>
    <w:rsid w:val="5D7F1C6B"/>
    <w:rsid w:val="5ECB195D"/>
    <w:rsid w:val="5F297A5F"/>
    <w:rsid w:val="5F36FCC1"/>
    <w:rsid w:val="63E446CD"/>
    <w:rsid w:val="6E6D3C37"/>
    <w:rsid w:val="6E9D206E"/>
    <w:rsid w:val="73FB084E"/>
    <w:rsid w:val="75EC8A4D"/>
    <w:rsid w:val="76BF21CC"/>
    <w:rsid w:val="79DF2A93"/>
    <w:rsid w:val="7BE9F8C5"/>
    <w:rsid w:val="7CFF5220"/>
    <w:rsid w:val="7DB22E22"/>
    <w:rsid w:val="7DC2F070"/>
    <w:rsid w:val="7ED62E8A"/>
    <w:rsid w:val="7F6FD3EE"/>
    <w:rsid w:val="7FB74DC7"/>
    <w:rsid w:val="7FFE7FB4"/>
    <w:rsid w:val="99FF4809"/>
    <w:rsid w:val="9FB52773"/>
    <w:rsid w:val="B7AD9119"/>
    <w:rsid w:val="BF33945E"/>
    <w:rsid w:val="BF694934"/>
    <w:rsid w:val="DDFF92BF"/>
    <w:rsid w:val="DF978AF7"/>
    <w:rsid w:val="E4D705D4"/>
    <w:rsid w:val="EDFF4C8E"/>
    <w:rsid w:val="EEFF2E16"/>
    <w:rsid w:val="EFFB029B"/>
    <w:rsid w:val="F1EB33A2"/>
    <w:rsid w:val="F3F1C815"/>
    <w:rsid w:val="F53FCC2F"/>
    <w:rsid w:val="F67FC034"/>
    <w:rsid w:val="F6E5198D"/>
    <w:rsid w:val="F77E76EC"/>
    <w:rsid w:val="F7A77D20"/>
    <w:rsid w:val="FBDE8B28"/>
    <w:rsid w:val="FBFF92F3"/>
    <w:rsid w:val="FCDD7E60"/>
    <w:rsid w:val="FDFF62DE"/>
    <w:rsid w:val="FDFFD101"/>
    <w:rsid w:val="FE571232"/>
    <w:rsid w:val="FF62195E"/>
    <w:rsid w:val="FFD5EE33"/>
    <w:rsid w:val="FFDDC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5EA8A0-D6D2-4B6E-B57A-6F6EA524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850</Words>
  <Characters>4851</Characters>
  <Application>Microsoft Office Word</Application>
  <DocSecurity>0</DocSecurity>
  <Lines>40</Lines>
  <Paragraphs>11</Paragraphs>
  <ScaleCrop>false</ScaleCrop>
  <Company>Xtzj.Com</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2023-03-16T06:26:00Z</cp:lastPrinted>
  <dcterms:created xsi:type="dcterms:W3CDTF">2023-03-17T04:17:00Z</dcterms:created>
  <dcterms:modified xsi:type="dcterms:W3CDTF">2023-03-17T04:17:00Z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9E4C9BB8AEADC37D7A7B0964948D311A</vt:lpwstr>
  </property>
</Properties>
</file>